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1626</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1625</w:t>
      </w:r>
      <w:r>
        <w:t xml:space="preserve"> for the revocation of a statement of foreign qualification, the Secretary of State shall serve the foreign limited liability company with a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Revocation.</w:t>
        <w:t xml:space="preserve"> </w:t>
      </w:r>
      <w:r>
        <w:t xml:space="preserve"> </w:t>
      </w:r>
      <w:r>
        <w:t xml:space="preserve">The statement of foreign qualification is revoked if the Secretary of State determines that the foreign limited liability company has failed to correct the ground or grounds for revocation within 60 days after the notice under </w:t>
      </w:r>
      <w:r>
        <w:t>subsection 1</w:t>
      </w:r>
      <w:r>
        <w:t xml:space="preserve"> was issued.  The Secretary of State shall send notice to the foreign limited liability company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§18 (AMD).]</w:t>
      </w:r>
    </w:p>
    <w:p>
      <w:pPr>
        <w:jc w:val="both"/>
        <w:spacing w:before="100" w:after="0"/>
        <w:ind w:start="360"/>
        <w:ind w:firstLine="360"/>
      </w:pPr>
      <w:r>
        <w:rPr>
          <w:b/>
        </w:rPr>
        <w:t>3</w:t>
        <w:t xml:space="preserve">.  </w:t>
      </w:r>
      <w:r>
        <w:rPr>
          <w:b/>
        </w:rPr>
        <w:t xml:space="preserve">Authority to transact business ceases.</w:t>
        <w:t xml:space="preserve"> </w:t>
      </w:r>
      <w:r>
        <w:t xml:space="preserve"> </w:t>
      </w:r>
      <w:r>
        <w:t xml:space="preserve">The authority of a foreign limited liability company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statement of foreign qualification appoints the Secretary of State as the foreign limited liability company's agent for service of process in any proceeding based on a cause of action that arose during the time the foreign limited liability company was authorized to transact business in this State.  Service of process on the Secretary of State under this subsection is service on the foreign limited liability company.  Upon receipt of process, the Secretary of State shall mail a copy of the process to the foreign limited liability company at its principal office shown in its most recent annual report or in any subsequent communication received from the foreign limited liability company stating the current mailing address of its principal office or, if no other address is on file, in its statement of foreign qualification.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statement of foreign qualification in this State does not terminate the authority of the registered agent of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limited liability company whose statement of foreign qualification in this State has been revoked under this section and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and the service upon the foreign limited liability company is perfected 5 days after the Secretary of State deposits the notice of the determination in the United States mail, as evidenced by the postmark, if mailed postpaid and correctly addressed to the registered agent in this State and the registered or principal office, wherever located, on file for the foreign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§2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§18 (AMD). PL 2011, c. 420, Pt. B, §2 (AMD). PL 2011, c. 420,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§1626. Procedure for and effect of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§1626. Procedure for and effect of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§1626. PROCEDURE FOR AND EFFECT OF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