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1642</w:t>
        <w:t xml:space="preserve">.  </w:t>
      </w:r>
      <w:r>
        <w:rPr>
          <w:b/>
        </w:rPr>
        <w:t xml:space="preserve">Action on plan of merger by constituent limited liability company</w:t>
      </w:r>
    </w:p>
    <w:p>
      <w:pPr>
        <w:jc w:val="both"/>
        <w:spacing w:before="100" w:after="0"/>
        <w:ind w:start="360"/>
        <w:ind w:firstLine="360"/>
      </w:pPr>
      <w:r>
        <w:rPr>
          <w:b/>
        </w:rPr>
        <w:t>1</w:t>
        <w:t xml:space="preserve">.  </w:t>
      </w:r>
      <w:r>
        <w:rPr>
          <w:b/>
        </w:rPr>
        <w:t xml:space="preserve">Consent by constituent members.</w:t>
        <w:t xml:space="preserve"> </w:t>
      </w:r>
      <w:r>
        <w:t xml:space="preserve"> </w:t>
      </w:r>
      <w:r>
        <w:t xml:space="preserve">A plan of merger must be consented to by all the members of a constituent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plan; abandon merger.</w:t>
        <w:t xml:space="preserve"> </w:t>
      </w:r>
      <w:r>
        <w:t xml:space="preserve"> </w:t>
      </w:r>
      <w:r>
        <w:t xml:space="preserve">After the plan of merger is approved, and at any time before a statement of merger is delivered to the office of the Secretary of State for filing under </w:t>
      </w:r>
      <w:r>
        <w:t>section 1643</w:t>
      </w:r>
      <w:r>
        <w:t xml:space="preserve">, a constituent limited liability company may amend the plan or abandon the merger:</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§1642. Action on plan of merger by constituent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§1642. Action on plan of merger by constituent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§1642. ACTION ON PLAN OF MERGER BY CONSTITUENT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