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Amended annual report of limited liability company or foreign limited liability company</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1519</w:t>
      </w:r>
      <w:r>
        <w:t xml:space="preserve"> has changed, a limited liability company may, if it determines it to be necessary, deliver to the office of the Secretary of State for filing an amended annual report to change the information on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limited liability company or foreign limited liability company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2011, c. 113, Pt. B, §11 (AMD).]</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§11 (AMD).]</w:t>
      </w:r>
    </w:p>
    <w:p>
      <w:pPr>
        <w:jc w:val="both"/>
        <w:spacing w:before="100" w:after="0"/>
        <w:ind w:start="360"/>
        <w:ind w:firstLine="360"/>
      </w:pPr>
      <w:r>
        <w:rPr>
          <w:b/>
        </w:rPr>
        <w:t>3</w:t>
        <w:t xml:space="preserve">.  </w:t>
      </w:r>
      <w:r>
        <w:rPr>
          <w:b/>
        </w:rPr>
        <w:t xml:space="preserve">Filing date.</w:t>
        <w:t xml:space="preserve"> </w:t>
      </w:r>
      <w:r>
        <w:t xml:space="preserve"> </w:t>
      </w:r>
      <w:r>
        <w:t xml:space="preserve">An amended annual report under </w:t>
      </w:r>
      <w:r>
        <w:t>subsection 1</w:t>
      </w:r>
      <w:r>
        <w:t xml:space="preserve"> may be filed by the limited liability company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§1666. Amended annual report of limited liability company or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Amended annual report of limited liability company or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§1666. AMENDED ANNUAL REPORT OF LIMITED LIABILITY COMPANY OR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