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§808-E. Reinstatement of registered limited liability partnership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§808-E. Reinstatement of registered limited liability partnership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§808-E. REINSTATEMENT OF REGISTERED LIMITED LIABILITY PARTNERSHIP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