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Notice</w:t>
      </w:r>
    </w:p>
    <w:p>
      <w:pPr>
        <w:jc w:val="both"/>
        <w:spacing w:before="100" w:after="100"/>
        <w:ind w:start="360"/>
        <w:ind w:firstLine="360"/>
      </w:pPr>
      <w:r>
        <w:rPr/>
      </w:r>
      <w:r>
        <w:rPr/>
      </w:r>
      <w:r>
        <w:t xml:space="preserve">The fact that a certificate of limited liability partnership is on file with the Secretary of State constitutes notice of facts set forth in the certificate that are required by </w:t>
      </w:r>
      <w:r>
        <w:t>section 822, subsection 1</w:t>
      </w:r>
      <w:r>
        <w:t xml:space="preserve"> and by </w:t>
      </w:r>
      <w:r>
        <w:t>section 823,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§830.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