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w:t>
        <w:t xml:space="preserve">.  </w:t>
      </w:r>
      <w:r>
        <w:rPr>
          <w:b/>
        </w:rPr>
        <w:t xml:space="preserve">Laws governing foreign limited liability partnerships</w:t>
      </w:r>
    </w:p>
    <w:p>
      <w:pPr>
        <w:jc w:val="both"/>
        <w:spacing w:before="100" w:after="100"/>
        <w:ind w:start="360"/>
        <w:ind w:firstLine="360"/>
      </w:pPr>
      <w:r>
        <w:rPr>
          <w:b/>
        </w:rPr>
        <w:t>1</w:t>
        <w:t xml:space="preserve">.  </w:t>
      </w:r>
      <w:r>
        <w:rPr>
          <w:b/>
        </w:rPr>
        <w:t xml:space="preserve">Laws governing.</w:t>
        <w:t xml:space="preserve"> </w:t>
      </w:r>
      <w:r>
        <w:t xml:space="preserve"> </w:t>
      </w:r>
      <w:r>
        <w:t xml:space="preserve">Unless otherwise provided by the Constitution of Maine:</w:t>
      </w:r>
    </w:p>
    <w:p>
      <w:pPr>
        <w:jc w:val="both"/>
        <w:spacing w:before="100" w:after="0"/>
        <w:ind w:start="720"/>
      </w:pPr>
      <w:r>
        <w:rPr/>
        <w:t>A</w:t>
        <w:t xml:space="preserve">.  </w:t>
      </w:r>
      <w:r>
        <w:rPr/>
      </w:r>
      <w:r>
        <w:t xml:space="preserve">The laws of the state or country under which a foreign limited liability partnership is organized govern its organization and internal affairs and the liability of its partners, provided that each partner, employee or agent of a foreign limited liability partnership who performs professional services in this State on behalf of such a foreign limited liability partnership is personally and fully liable for any omission, negligence, wrongful act, misconduct or malpractice by that person or any person under that person's direct supervision and control arising out of those professional services performed in this State; and</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B</w:t>
        <w:t xml:space="preserve">.  </w:t>
      </w:r>
      <w:r>
        <w:rPr/>
      </w:r>
      <w:r>
        <w:t xml:space="preserve">A foreign limited liability partnership may not be denied the authority to do business by reason of a difference between the laws referred to in this subsection and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2</w:t>
        <w:t xml:space="preserve">.  </w:t>
      </w:r>
      <w:r>
        <w:rPr>
          <w:b/>
        </w:rPr>
        <w:t xml:space="preserve">Type of business.</w:t>
        <w:t xml:space="preserve"> </w:t>
      </w:r>
      <w:r>
        <w:t xml:space="preserve"> </w:t>
      </w:r>
      <w:r>
        <w:t xml:space="preserve">A foreign limited liability partnership may transact any business in this State that may be transacted by a registered limited liability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§851. Laws governing foreign limited liability partnerships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 Laws governing foreign limited liability partnerships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§851. LAWS GOVERNING FOREIGN LIMITED LIABILITY PARTNERSHIPS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