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10008</w:t>
        <w:t xml:space="preserve">.  </w:t>
      </w:r>
      <w:r>
        <w:rPr>
          <w:b/>
        </w:rPr>
        <w:t xml:space="preserve">Reciprocity</w:t>
      </w:r>
    </w:p>
    <w:p>
      <w:pPr>
        <w:jc w:val="both"/>
        <w:spacing w:before="100" w:after="100"/>
        <w:ind w:start="360"/>
        <w:ind w:firstLine="360"/>
      </w:pPr>
      <w:r>
        <w:rPr/>
      </w:r>
      <w:r>
        <w:rPr/>
      </w:r>
      <w:r>
        <w:t xml:space="preserve">A person who has been certified in another state as an underground oil storage tank installer or underground oil storage tank inspector may, upon payment of a fee as established under </w:t>
      </w:r>
      <w:r>
        <w:t>section 10012</w:t>
      </w:r>
      <w:r>
        <w:t xml:space="preserve">, obtain a certification as an underground oil storage tank installer or underground oil storage tank inspector, if that person submits satisfactory evidence of certification as an underground oil storage tank installer or underground oil storage tank inspector in another state under qualifications equivalent to those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186,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§8 (AMD). PL 1997, c. 364, §7 (AMD). PL 2001, c. 231, §9 (AMD). PL 2021, c. 186,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§10008.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§10008.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§10008.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