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10012</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Fees may be established by the board in amounts which are reasonable and necessary for their respective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Disposal of fees and civil penalties.</w:t>
        <w:t xml:space="preserve"> </w:t>
      </w:r>
      <w:r>
        <w:t xml:space="preserve"> </w:t>
      </w:r>
      <w:r>
        <w:t xml:space="preserve">All fees received by the board under </w:t>
      </w:r>
      <w:r>
        <w:t>subsection 1</w:t>
      </w:r>
      <w:r>
        <w:t xml:space="preserve"> and civil penalties imposed under </w:t>
      </w:r>
      <w:r>
        <w:t>sections 10015</w:t>
      </w:r>
      <w:r>
        <w:t xml:space="preserve"> or </w:t>
      </w:r>
      <w:r>
        <w:t>10016</w:t>
      </w:r>
      <w:r>
        <w:t xml:space="preserve"> must be paid to the Treasurer of State to be deposited into the Maine Ground and Surface Waters Clean-up and Response Fund and used for the purpose of carrying out all applicable provisions of this chapter. Any balance of fees and civil penalties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626, §1 (AMD). PL 1987, c. 410, §15 (AMD). PL 1989, c. 312, §13 (AMD). PL 1991, c. 499, §8 (AMD). PL 1997, c. 364, §14 (AMD). PL 2001, c. 231, §14 (AMD). PL 2007, c. 497, §1 (AMD). PL 2015, c. 319,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