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11021</w:t>
        <w:t xml:space="preserve">.  </w:t>
      </w:r>
      <w:r>
        <w:rPr>
          <w:b/>
        </w:rPr>
        <w:t xml:space="preserve">Collection actions prohibited in small claims court</w:t>
      </w:r>
    </w:p>
    <w:p>
      <w:pPr>
        <w:jc w:val="both"/>
        <w:spacing w:before="100" w:after="100"/>
        <w:ind w:start="360"/>
        <w:ind w:firstLine="360"/>
      </w:pPr>
      <w:r>
        <w:rPr/>
      </w:r>
      <w:r>
        <w:rPr/>
      </w:r>
      <w:r>
        <w:t xml:space="preserve">A debt collector may not commence a collection action against a consumer to collect a debt in small claims court pursuant to </w:t>
      </w:r>
      <w:r>
        <w:t>Title 14, chapter 738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§11021. Collection actions prohibited in small claims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§11021. Collection actions prohibited in small claims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§11021. COLLECTION ACTIONS PROHIBITED IN SMALL CLAIMS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