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11039</w:t>
        <w:t xml:space="preserve">.  </w:t>
      </w:r>
      <w:r>
        <w:rPr>
          <w:b/>
        </w:rPr>
        <w:t xml:space="preserve">Fees</w:t>
      </w:r>
    </w:p>
    <w:p>
      <w:pPr>
        <w:jc w:val="both"/>
        <w:spacing w:before="100" w:after="100"/>
        <w:ind w:start="360"/>
        <w:ind w:firstLine="360"/>
      </w:pPr>
      <w:r>
        <w:rPr/>
      </w:r>
      <w:r>
        <w:rPr/>
      </w:r>
      <w:r>
        <w:t xml:space="preserve">The aggregate of license fees provided for by this chapter is appropriated for the use of the Bureau of Consumer Credit Protection.  Any balance of these funds shall not lapse, but shall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1995, c. 309, §26 (AMD). PL 1995, c. 309, §29 (AFF). PL 2007, c. 273, Pt. B, §5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