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11210</w:t>
        <w:t xml:space="preserve">.  </w:t>
      </w:r>
      <w:r>
        <w:rPr>
          <w:b/>
        </w:rPr>
        <w:t xml:space="preserve">Short title</w:t>
      </w:r>
    </w:p>
    <w:p>
      <w:pPr>
        <w:jc w:val="both"/>
        <w:spacing w:before="100" w:after="100"/>
        <w:ind w:start="360"/>
        <w:ind w:firstLine="360"/>
      </w:pPr>
      <w:r>
        <w:rPr/>
      </w:r>
      <w:r>
        <w:rPr/>
      </w:r>
      <w:r>
        <w:t xml:space="preserve">This chapter is known and may be cited as the "Maine Commodity Code."</w:t>
      </w:r>
      <w:r>
        <w:t xml:space="preserve">  </w:t>
      </w:r>
      <w:r xmlns:wp="http://schemas.openxmlformats.org/drawingml/2010/wordprocessingDrawing" xmlns:w15="http://schemas.microsoft.com/office/word/2012/wordml">
        <w:rPr>
          <w:rFonts w:ascii="Arial" w:hAnsi="Arial" w:cs="Arial"/>
          <w:sz w:val="22"/>
          <w:szCs w:val="22"/>
        </w:rPr>
        <w:t xml:space="preserve">[PL 2001, c. 182,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§11210.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§11210.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