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License required</w:t>
      </w:r>
    </w:p>
    <w:p>
      <w:pPr>
        <w:jc w:val="both"/>
        <w:spacing w:before="100" w:after="100"/>
        <w:ind w:start="360"/>
        <w:ind w:firstLine="360"/>
      </w:pPr>
      <w:r>
        <w:rPr/>
      </w:r>
      <w:r>
        <w:rPr/>
      </w:r>
      <w:r>
        <w:t xml:space="preserve">An electrical installation may not be made unless by an electrician licensed by the board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1987, c. 735, §53 (RPR). PL 1995, c. 325, §11 (AMD). PL 2011, c. 286, Pt. F, §11 (AMD). PL 2011, c. 420, Pt. M, §5 (AMD). PL 2011, c. 420, Pt. M, §7 (AFF). PL 2017, c. 198,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