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Adopt rules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B</w:t>
        <w:t xml:space="preserve">.  </w:t>
      </w:r>
      <w:r>
        <w:rPr/>
      </w:r>
      <w:r>
        <w:t xml:space="preserve">Set standards of practice for acupuncturists and naturopathic doctors;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B-1</w:t>
        <w:t xml:space="preserve">.  </w:t>
      </w:r>
      <w:r>
        <w:rPr/>
      </w:r>
      <w:r>
        <w:t xml:space="preserve">Set the standards of practice for midwives.  Prior to January 1, 2021, rules relating to the limitations in </w:t>
      </w:r>
      <w:r>
        <w:t>section 12536</w:t>
      </w:r>
      <w:r>
        <w:t xml:space="preserve">, the drug formulary, informed consent documentation, preexisting conditions that render a pregnancy ineligible for out-of-hospital birth and data collection and reporting must be adopted by the board in joint rulemaking with the Board of Licensure in Medicine.  On or after January 1, 2021, rules adopted pursuant to this paragraph must be adopted by the board.  All other rules must be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502, §7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666, §2 (RP).]</w:t>
      </w:r>
    </w:p>
    <w:p>
      <w:pPr>
        <w:jc w:val="both"/>
        <w:spacing w:before="100" w:after="0"/>
        <w:ind w:start="720"/>
      </w:pPr>
      <w:r>
        <w:rPr/>
        <w:t>D</w:t>
        <w:t xml:space="preserve">.  </w:t>
      </w:r>
      <w:r>
        <w:rPr/>
      </w:r>
      <w:r>
        <w:t xml:space="preserve">Ensure that acupuncturists, naturopathic doctors and midwives serving the public meet minimum standards of proficiency and competency to protect the health, safety and welfare of the public; and</w:t>
      </w:r>
      <w:r>
        <w:t xml:space="preserve">  </w:t>
      </w:r>
      <w:r xmlns:wp="http://schemas.openxmlformats.org/drawingml/2010/wordprocessingDrawing" xmlns:w15="http://schemas.microsoft.com/office/word/2012/wordml">
        <w:rPr>
          <w:rFonts w:ascii="Arial" w:hAnsi="Arial" w:cs="Arial"/>
          <w:sz w:val="22"/>
          <w:szCs w:val="22"/>
        </w:rPr>
        <w:t xml:space="preserve">[PL 2015, c. 502, §8 (AMD).]</w:t>
      </w:r>
    </w:p>
    <w:p>
      <w:pPr>
        <w:jc w:val="both"/>
        <w:spacing w:before="100" w:after="0"/>
        <w:ind w:start="720"/>
      </w:pPr>
      <w:r>
        <w:rPr/>
        <w:t>E</w:t>
        <w:t xml:space="preserve">.  </w:t>
      </w:r>
      <w:r>
        <w:rPr/>
      </w:r>
      <w:r>
        <w:t xml:space="preserve">Administer and enforce the provisions of this chapter and any rules adopted by the board under that authority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§§7, 8 (AMD).]</w:t>
      </w:r>
    </w:p>
    <w:p>
      <w:pPr>
        <w:jc w:val="both"/>
        <w:spacing w:before="100" w:after="0"/>
        <w:ind w:start="360"/>
        <w:ind w:firstLine="360"/>
      </w:pPr>
      <w:r>
        <w:rPr>
          <w:b/>
        </w:rPr>
        <w:t>2</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4</w:t>
        <w:t xml:space="preserve">.  </w:t>
      </w:r>
      <w:r>
        <w:rPr>
          <w:b/>
        </w:rPr>
        <w:t xml:space="preserve">Subpoena power; administration of oaths; power to compel production of documents.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5</w:t>
        <w:t xml:space="preserve">.  </w:t>
      </w:r>
      <w:r>
        <w:rPr>
          <w:b/>
        </w:rPr>
        <w:t xml:space="preserve">Witness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100"/>
        <w:ind w:start="360"/>
        <w:ind w:firstLine="360"/>
      </w:pPr>
      <w:r>
        <w:rPr>
          <w:b/>
        </w:rPr>
        <w:t>6</w:t>
        <w:t xml:space="preserve">.  </w:t>
      </w:r>
      <w:r>
        <w:rPr>
          <w:b/>
        </w:rPr>
        <w:t xml:space="preserve">Suspension and 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2003, c. 666, §2 (AMD). PL 2007, c. 402, Pt. AA, §2 (AMD). PL 2015, c. 502,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§12503.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§12503.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§12503.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