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Civil actions</w:t>
      </w:r>
    </w:p>
    <w:p>
      <w:pPr>
        <w:jc w:val="both"/>
        <w:spacing w:before="100" w:after="100"/>
        <w:ind w:start="360"/>
        <w:ind w:firstLine="360"/>
      </w:pPr>
      <w:r>
        <w:rPr/>
      </w:r>
      <w:r>
        <w:rPr/>
      </w:r>
      <w:r>
        <w:t xml:space="preserve">No person or entity may bring or maintain any action in the courts of this State for the collection of compensation for real estate brokerage services, without first proving that the person or entity was properly licensed by the Real Estate Commission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§13004.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§13004.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