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13755</w:t>
        <w:t xml:space="preserve">.  </w:t>
      </w:r>
      <w:r>
        <w:rPr>
          <w:b/>
        </w:rPr>
        <w:t xml:space="preserve">Vaccine clinics</w:t>
      </w:r>
    </w:p>
    <w:p>
      <w:pPr>
        <w:jc w:val="both"/>
        <w:spacing w:before="100" w:after="100"/>
        <w:ind w:start="360"/>
        <w:ind w:firstLine="360"/>
      </w:pPr>
      <w:r>
        <w:rPr/>
      </w:r>
      <w:r>
        <w:rPr/>
      </w:r>
      <w:r>
        <w:t xml:space="preserve">A pharmacy may operate a vaccine administration clinic inside, outside or off the pharmacy's premises.</w:t>
      </w:r>
      <w:r>
        <w:t xml:space="preserve">  </w:t>
      </w:r>
      <w:r xmlns:wp="http://schemas.openxmlformats.org/drawingml/2010/wordprocessingDrawing" xmlns:w15="http://schemas.microsoft.com/office/word/2012/wordml">
        <w:rPr>
          <w:rFonts w:ascii="Arial" w:hAnsi="Arial" w:cs="Arial"/>
          <w:sz w:val="22"/>
          <w:szCs w:val="22"/>
        </w:rPr>
        <w:t xml:space="preserve">[PL 2011, c. 577,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§13755. Vaccine clinics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§13755. Vaccine clinics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§13755. VACCINE CLINICS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