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Pharmacy provider.</w:t>
        <w:t xml:space="preserve"> </w:t>
      </w:r>
      <w:r>
        <w:t xml:space="preserve"> </w:t>
      </w:r>
      <w:r>
        <w:t xml:space="preserve">"Pharmacy provider" means a pharmacy licensed in this State participating with a rural health center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§2 (AMD).]</w:t>
      </w:r>
    </w:p>
    <w:p>
      <w:pPr>
        <w:jc w:val="both"/>
        <w:spacing w:before="100" w:after="0"/>
        <w:ind w:start="360"/>
        <w:ind w:firstLine="360"/>
      </w:pPr>
      <w:r>
        <w:rPr>
          <w:b/>
        </w:rPr>
        <w:t>2</w:t>
        <w:t xml:space="preserve">.  </w:t>
      </w:r>
      <w:r>
        <w:rPr>
          <w:b/>
        </w:rPr>
        <w:t xml:space="preserve">Rural community health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