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13764</w:t>
        <w:t xml:space="preserve">.  </w:t>
      </w:r>
      <w:r>
        <w:rPr>
          <w:b/>
        </w:rPr>
        <w:t xml:space="preserve">Rules</w:t>
      </w:r>
    </w:p>
    <w:p>
      <w:pPr>
        <w:jc w:val="both"/>
        <w:spacing w:before="100" w:after="100"/>
        <w:ind w:start="360"/>
        <w:ind w:firstLine="360"/>
      </w:pPr>
      <w:r>
        <w:rPr/>
      </w:r>
      <w:r>
        <w:rPr/>
      </w:r>
      <w:r>
        <w:t xml:space="preserve">The board shall adopt rules in conformity with the Maine Administrative Procedure Act, </w:t>
      </w:r>
      <w:r>
        <w:t>Title 5, chapter 375</w:t>
      </w:r>
      <w:r>
        <w:t xml:space="preserve">,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§13764.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