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13775</w:t>
        <w:t xml:space="preserve">.  </w:t>
      </w:r>
      <w:r>
        <w:rPr>
          <w:b/>
        </w:rPr>
        <w:t xml:space="preserve">Reimbursement rates</w:t>
      </w:r>
    </w:p>
    <w:p>
      <w:pPr>
        <w:jc w:val="both"/>
        <w:spacing w:before="100" w:after="100"/>
        <w:ind w:start="360"/>
        <w:ind w:firstLine="360"/>
      </w:pPr>
      <w:r>
        <w:rPr/>
      </w:r>
      <w:r>
        <w:rPr/>
      </w:r>
      <w:r>
        <w:t xml:space="preserve">A 3rd-party prescription program is prohibited from charging a pharmacy a registration fee or other fixed charge, either annually or otherwise, except in cases where a charge is necessary to specifically cover any equipment, forms or materials required by the program.</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§13775. Reimbursement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§13775. Reimbursement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§13775. REIMBURSEMENT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