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EE, §3 (AMD).]</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administer and enforce this chapter, set forth education and examination standards and evaluate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w:t>
      </w:r>
      <w:r>
        <w:t>Title 5, chapter 375</w:t>
      </w:r>
      <w:r>
        <w:t xml:space="preserve">,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7</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8</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9</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10</w:t>
        <w:t xml:space="preserve">.  </w:t>
      </w:r>
      <w:r>
        <w:rPr>
          <w:b/>
        </w:rPr>
        <w:t xml:space="preserve">Officers.</w:t>
        <w:t xml:space="preserve"> </w:t>
      </w:r>
      <w:r>
        <w:t xml:space="preserve"> </w:t>
      </w:r>
      <w:r>
        <w:t xml:space="preserve">The board shall elect from among its members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11</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12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100"/>
        <w:ind w:start="360"/>
        <w:ind w:firstLine="360"/>
      </w:pPr>
      <w:r>
        <w:rPr>
          <w:b/>
        </w:rPr>
        <w:t>13</w:t>
        <w:t xml:space="preserve">.  </w:t>
      </w:r>
      <w:r>
        <w:rPr>
          <w:b/>
        </w:rPr>
        <w:t xml:space="preserve">Disclosure statements.</w:t>
        <w:t xml:space="preserve"> </w:t>
      </w:r>
      <w:r>
        <w:t xml:space="preserve"> </w:t>
      </w:r>
      <w:r>
        <w:t xml:space="preserve">Under this chapter all licensees and registrants are required to provide disclosure statements to clients prior to treatments.  The board may adopt, by rule, a standard disclosure statement.  This disclosure statement must include, but not be limited to, the name and address of the licensee or registrant, the original date and the expiration date of the license, the proposed course of treatment and financial arrangements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14</w:t>
        <w:t xml:space="preserve">.  </w:t>
      </w:r>
      <w:r>
        <w:rPr>
          <w:b/>
        </w:rPr>
        <w:t xml:space="preserve">Issue licenses.</w:t>
        <w:t xml:space="preserve"> </w:t>
      </w:r>
      <w:r>
        <w:t xml:space="preserve"> </w:t>
      </w:r>
      <w:r>
        <w:t xml:space="preserve">The board shall issue licenses as necessary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 PL 1989, c. 895, §22 (AFF).]</w:t>
      </w:r>
    </w:p>
    <w:p>
      <w:pPr>
        <w:jc w:val="both"/>
        <w:spacing w:before="100" w:after="0"/>
        <w:ind w:start="360"/>
        <w:ind w:firstLine="360"/>
      </w:pPr>
      <w:r>
        <w:rPr>
          <w:b/>
        </w:rPr>
        <w:t>15</w:t>
        <w:t xml:space="preserve">.  </w:t>
      </w:r>
      <w:r>
        <w:rPr>
          <w:b/>
        </w:rPr>
        <w:t xml:space="preserve">Client bill of rights.</w:t>
        <w:t xml:space="preserve"> </w:t>
      </w:r>
      <w:r>
        <w:t xml:space="preserve"> </w:t>
      </w:r>
      <w:r>
        <w:t xml:space="preserve">The board shall specify the information that counselors are to include in a client bill of rights that is to be provided to all clients by all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§§5,6,22 (AMD). PL 1991, c. 263, §§5,6 (AFF). PL 1995, c. 397, §114 (AMD). PL 2007, c. 402, Pt. EE,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