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14036-A</w:t>
        <w:t xml:space="preserve">.  </w:t>
      </w:r>
      <w:r>
        <w:rPr>
          <w:b/>
        </w:rPr>
        <w:t xml:space="preserve">Required examination; certified residential real property appraiser</w:t>
      </w:r>
    </w:p>
    <w:p>
      <w:pPr>
        <w:jc w:val="both"/>
        <w:spacing w:before="100" w:after="100"/>
        <w:ind w:start="360"/>
        <w:ind w:firstLine="360"/>
      </w:pPr>
      <w:r>
        <w:rPr/>
      </w:r>
      <w:r>
        <w:rPr/>
      </w:r>
      <w:r>
        <w:t xml:space="preserve">An applicant for a certified residential real property appraiser license must pass the appraiser qualifications board's uniform state-certified residential real property appraiser examination within 24 months of the date the applicant is eligible to take the examination.  An applicant must apply for a certified residential real property appraiser license within 24 months of successfully completing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547, §10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§10 (NEW). PL 2013, c. 547,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§14036-A. Required examination; certified residential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§14036-A. Required examination; certified residential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§14036-A. REQUIRED EXAMINATION; CERTIFIED RESIDENTIAL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