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licensure of a school may not exceed $500 and the fee for any other purpose may not exceed $100. 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§26 (NEW); PL 2011, c. 286, Pt. B, §5 (REV).]</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§26 (RP).]</w:t>
      </w:r>
    </w:p>
    <w:p>
      <w:pPr>
        <w:jc w:val="both"/>
        <w:spacing w:before="100" w:after="0"/>
        <w:ind w:start="360"/>
        <w:ind w:firstLine="360"/>
      </w:pPr>
      <w:r>
        <w:rPr>
          <w:b/>
        </w:rPr>
        <w:t>2</w:t>
        <w:t xml:space="preserve">.  </w:t>
      </w:r>
      <w:r>
        <w:rPr>
          <w:b/>
        </w:rPr>
        <w:t xml:space="preserve">Investigation; enforcement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§B24 (AMD). PL 1995, c. 397, §123 (AMD). PL 1997, c. 622, §§3,4 (AMD). PL 1999, c. 386, §U5 (AMD). PL 2007, c. 402, Pt. HH, §26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