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14309</w:t>
        <w:t xml:space="preserve">.  </w:t>
      </w:r>
      <w:r>
        <w:rPr>
          <w:b/>
        </w:rPr>
        <w:t xml:space="preserve">Unlicensed practice</w:t>
      </w:r>
    </w:p>
    <w:p>
      <w:pPr>
        <w:jc w:val="both"/>
        <w:spacing w:before="100" w:after="100"/>
        <w:ind w:start="360"/>
        <w:ind w:firstLine="360"/>
      </w:pPr>
      <w:r>
        <w:rPr/>
      </w:r>
      <w:r>
        <w:rPr/>
      </w:r>
      <w:r>
        <w:t xml:space="preserve">A person who violates </w:t>
      </w:r>
      <w:r>
        <w:t>section 14306‑C</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1999, c. 547, §B78 (AMD). PL 1999, c. 547, §B80 (AFF). PL 2001, c. 421, §B105 (AMD). PL 2001, c. 421, §C1 (AFF). PL 2007, c. 402, Pt. II,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§14309.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§14309.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§14309.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