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14702</w:t>
        <w:t xml:space="preserve">.  </w:t>
      </w:r>
      <w:r>
        <w:rPr>
          <w:b/>
        </w:rPr>
        <w:t xml:space="preserve">Licensure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who engages in the business of a transient seller of consumer merchandise, including a self-employed person or a person who employs one or more transient sellers of consumer merchandise, must apply to the department and acquire a license in the manner set forth in </w:t>
      </w:r>
      <w:r>
        <w:t>section 14706</w:t>
      </w:r>
      <w:r>
        <w:t xml:space="preserve"> before engaging in sales of consumer merchandise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§11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§14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2003, c. 452, §R14 (RPR). PL 2003, c. 452, §X2 (AFF). PL 2007, c. 402, Pt. KK,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§14702.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§14702.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§14702.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