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14703</w:t>
        <w:t xml:space="preserve">.  </w:t>
      </w:r>
      <w:r>
        <w:rPr>
          <w:b/>
        </w:rPr>
        <w:t xml:space="preserve">Licenses</w:t>
      </w:r>
    </w:p>
    <w:p>
      <w:pPr>
        <w:jc w:val="both"/>
        <w:spacing w:before="100" w:after="0"/>
        <w:ind w:start="360"/>
        <w:ind w:firstLine="360"/>
      </w:pPr>
      <w:r>
        <w:rPr>
          <w:b/>
        </w:rPr>
        <w:t>1</w:t>
        <w:t xml:space="preserve">.  </w:t>
      </w:r>
      <w:r>
        <w:rPr>
          <w:b/>
        </w:rPr>
        <w:t xml:space="preserve">Issuance.</w:t>
        <w:t xml:space="preserve"> </w:t>
      </w:r>
      <w:r>
        <w:t xml:space="preserve"> </w:t>
      </w:r>
      <w:r>
        <w:t xml:space="preserve">The department shall issue to each transient seller of consumer merchandise and employee of that transient seller a license that, among other things, must indicate that the person whose name appears on the license is a licensed seller or employee of a licensed seller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0"/>
        <w:ind w:start="360"/>
        <w:ind w:firstLine="360"/>
      </w:pPr>
      <w:r>
        <w:rPr>
          <w:b/>
        </w:rPr>
        <w:t>2</w:t>
        <w:t xml:space="preserve">.  </w:t>
      </w:r>
      <w:r>
        <w:rPr>
          <w:b/>
        </w:rPr>
        <w:t xml:space="preserve">Possession and presentation.</w:t>
        <w:t xml:space="preserve"> </w:t>
      </w:r>
      <w:r>
        <w:t xml:space="preserve"> </w:t>
      </w:r>
      <w:r>
        <w:t xml:space="preserve">Every transient seller of consumer merchandise and each of the seller's employees must have a valid license, as required by this subchapter, in the seller's or employee's immediate possession at all times when engaging in sales of consumer merchandise in this State and shall present the license for inspection upon request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w:pPr>
        <w:jc w:val="both"/>
        <w:spacing w:before="100" w:after="0"/>
        <w:ind w:start="720"/>
      </w:pPr>
      <w:r>
        <w:rPr/>
        <w:t>B</w:t>
        <w:t xml:space="preserve">.  </w:t>
      </w:r>
      <w:r>
        <w:rPr/>
      </w:r>
      <w:r>
        <w:t xml:space="preserve">A person who intentionally violates </w:t>
      </w:r>
      <w:r>
        <w:t>subsection 2</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§R15 (AMD). PL 2003, c. 452, §X2 (AFF). PL 2007, c. 402, Pt. KK,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