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14706</w:t>
        <w:t xml:space="preserve">.  </w:t>
      </w:r>
      <w:r>
        <w:rPr>
          <w:b/>
        </w:rPr>
        <w:t xml:space="preserve">Application</w:t>
      </w:r>
    </w:p>
    <w:p>
      <w:pPr>
        <w:jc w:val="both"/>
        <w:spacing w:before="100" w:after="100"/>
        <w:ind w:start="360"/>
        <w:ind w:firstLine="360"/>
      </w:pPr>
      <w:r>
        <w:rPr/>
      </w:r>
      <w:r>
        <w:rPr/>
      </w:r>
      <w:r>
        <w:t xml:space="preserve">Each application for a transient seller of consumer merchandise license required by </w:t>
      </w:r>
      <w:r>
        <w:t>section 14702</w:t>
      </w:r>
      <w:r>
        <w:t xml:space="preserve"> must include:</w:t>
      </w:r>
      <w:r>
        <w:t xml:space="preserve">  </w:t>
      </w:r>
      <w:r xmlns:wp="http://schemas.openxmlformats.org/drawingml/2010/wordprocessingDrawing" xmlns:w15="http://schemas.microsoft.com/office/word/2012/wordml">
        <w:rPr>
          <w:rFonts w:ascii="Arial" w:hAnsi="Arial" w:cs="Arial"/>
          <w:sz w:val="22"/>
          <w:szCs w:val="22"/>
        </w:rPr>
        <w:t xml:space="preserve">[PL 2007, c. 402, Pt. KK, §14 (AMD).]</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local and permanent business address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Employees of applicant.</w:t>
        <w:t xml:space="preserve"> </w:t>
      </w:r>
      <w:r>
        <w:t xml:space="preserve"> </w:t>
      </w:r>
      <w:r>
        <w:t xml:space="preserve">Names of all employees of the applicant employed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Statement.</w:t>
        <w:t xml:space="preserve"> </w:t>
      </w:r>
      <w:r>
        <w:t xml:space="preserve"> </w:t>
      </w:r>
      <w:r>
        <w:t xml:space="preserve">A statement of all judgments secured or outstanding against the applicant arising out of sales to consumers during the 2 years immediately prior to making the application and of all suits of either a criminal or civil nature pending against the applicant that arise out of sales to consumers, at the time of making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Statement of yearly gross revenues.</w:t>
        <w:t xml:space="preserve"> </w:t>
      </w:r>
      <w:r>
        <w:t xml:space="preserve"> </w:t>
      </w:r>
      <w:r>
        <w:t xml:space="preserve">A statement of anticipated yearly gross revenues from sales of consumer merchandise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The name and address of the person to whom security deposits made with the department pursuant to this subchapter are returned;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6</w:t>
        <w:t xml:space="preserve">.  </w:t>
      </w:r>
      <w:r>
        <w:rPr>
          <w:b/>
        </w:rPr>
        <w:t xml:space="preserve">Seller's certificate.</w:t>
        <w:t xml:space="preserve"> </w:t>
      </w:r>
      <w:r>
        <w:t xml:space="preserve"> </w:t>
      </w:r>
      <w:r>
        <w:t xml:space="preserve">The number of a valid registration certificate issued to the applicant by the State Tax Assessor pursuant to </w:t>
      </w:r>
      <w:r>
        <w:t>Title 36, chapter 211</w:t>
      </w:r>
      <w:r>
        <w:t xml:space="preserve"> or satisfactory evidence that the applicant is not required to be registered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§9 (AMD).]</w:t>
      </w:r>
    </w:p>
    <w:p>
      <w:pPr>
        <w:jc w:val="both"/>
        <w:spacing w:before="100" w:after="100"/>
        <w:ind w:start="360"/>
        <w:ind w:firstLine="360"/>
      </w:pPr>
      <w:r>
        <w:rPr/>
      </w:r>
      <w:r>
        <w:rPr/>
      </w:r>
      <w:r>
        <w:t xml:space="preserve">The applicant shall promptly notify the department of all changes or additions in the information required in this section upon a form prescribed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100"/>
        <w:ind w:start="360"/>
        <w:ind w:firstLine="360"/>
      </w:pPr>
      <w:r>
        <w:rPr/>
      </w:r>
      <w:r>
        <w:rPr/>
      </w:r>
      <w:r>
        <w:t xml:space="preserve">Any false statement in an application, either original or supplementary, for a license subjects the applicant to the same penalty as if the applicant had no license.</w:t>
      </w:r>
      <w:r>
        <w:t xml:space="preserve">  </w:t>
      </w:r>
      <w:r xmlns:wp="http://schemas.openxmlformats.org/drawingml/2010/wordprocessingDrawing" xmlns:w15="http://schemas.microsoft.com/office/word/2012/wordml">
        <w:rPr>
          <w:rFonts w:ascii="Arial" w:hAnsi="Arial" w:cs="Arial"/>
          <w:sz w:val="22"/>
          <w:szCs w:val="22"/>
        </w:rPr>
        <w:t xml:space="preserve">[PL 2007, c. 402, Pt. 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§§14, 15 (AMD). PL 2011, c. 548,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§14706.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