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15116</w:t>
        <w:t xml:space="preserve">.  </w:t>
      </w:r>
      <w:r>
        <w:rPr>
          <w:b/>
        </w:rPr>
        <w:t xml:space="preserve">Insurance</w:t>
      </w:r>
    </w:p>
    <w:p>
      <w:pPr>
        <w:jc w:val="both"/>
        <w:spacing w:before="100" w:after="100"/>
        <w:ind w:start="360"/>
        <w:ind w:firstLine="360"/>
      </w:pPr>
      <w:r>
        <w:rPr/>
      </w:r>
      <w:r>
        <w:rPr/>
      </w:r>
      <w:r>
        <w:t xml:space="preserve">When a boiler or pressure vessel is insured and inspected by a duly accredited insurance company licensed to do business in this State, a copy of the record of each certificate inspection of the boiler or pressure vessel must be filed with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w:pPr>
        <w:jc w:val="both"/>
        <w:spacing w:before="100" w:after="100"/>
        <w:ind w:start="360"/>
        <w:ind w:firstLine="360"/>
      </w:pPr>
      <w:r>
        <w:rPr/>
      </w:r>
      <w:r>
        <w:rPr/>
      </w:r>
      <w:r>
        <w:t xml:space="preserve">When an insurance company cancels insurance upon any boiler or pressure vessel requiring inspection under </w:t>
      </w:r>
      <w:r>
        <w:t>section 15117</w:t>
      </w:r>
      <w:r>
        <w:t xml:space="preserve"> that is not exempt under </w:t>
      </w:r>
      <w:r>
        <w:t>section 15102</w:t>
      </w:r>
      <w:r>
        <w:t xml:space="preserve"> or the policy expires and is not renewed, notice must immediately be given to the director. An insurance company shall notify the director immediately upon insuring a boiler or pressure vessel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§W26 (AMD). PL 1999, c. 687, §E15 (AMD). PL 2013, c. 70, Pt. C,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§15116.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§15116.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§15116.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