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15208-A</w:t>
        <w:t xml:space="preserve">.  </w:t>
      </w:r>
      <w:r>
        <w:rPr>
          <w:b/>
        </w:rPr>
        <w:t xml:space="preserve">Registration of elevator contractors</w:t>
      </w:r>
    </w:p>
    <w:p>
      <w:pPr>
        <w:jc w:val="both"/>
        <w:spacing w:before="100" w:after="100"/>
        <w:ind w:start="360"/>
        <w:ind w:firstLine="360"/>
      </w:pPr>
      <w:r>
        <w:rPr/>
      </w:r>
      <w:r>
        <w:rPr/>
      </w:r>
      <w:r>
        <w:t xml:space="preserve">Any person, firm, partnership, association, corporation or company engaged in the installation, sale, service, maintenance or inspection of elevators in this State shall register with the director.  The registration must be submitted on a form provided by the director and must include the names and addresses of all licensed private inspectors, licensed mechanics and all helpers employed by the elevator contractor.  An elevator contractor shall notify the director of any change in the information required under this section within 30 days of the change.  The required fee for registration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§B14 (NEW). PL 2001, c. 573, §B36 (AFF). PL 2013, c. 70, Pt. D,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§15208-A. Registration of elevator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§15208-A. Registration of elevator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§15208-A. REGISTRATION OF ELEVATOR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