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1528-A</w:t>
        <w:t xml:space="preserve">.  </w:t>
      </w:r>
      <w:r>
        <w:rPr>
          <w:b/>
        </w:rPr>
        <w:t xml:space="preserve">Continuing education</w:t>
      </w:r>
    </w:p>
    <w:p>
      <w:pPr>
        <w:jc w:val="both"/>
        <w:spacing w:before="100" w:after="100"/>
        <w:ind w:start="360"/>
        <w:ind w:firstLine="360"/>
      </w:pPr>
      <w:r>
        <w:rPr/>
      </w:r>
      <w:r>
        <w:rPr/>
      </w:r>
      <w:r>
        <w:t xml:space="preserve">Renewal of a license under this chapter is contingent upon evidence of participation in continuing education as determined by the director.  A licensee shall certify at time of renewal compliance with the continuing education requirements under this section.</w:t>
      </w:r>
      <w:r>
        <w:t xml:space="preserve">  </w:t>
      </w:r>
      <w:r xmlns:wp="http://schemas.openxmlformats.org/drawingml/2010/wordprocessingDrawing" xmlns:w15="http://schemas.microsoft.com/office/word/2012/wordml">
        <w:rPr>
          <w:rFonts w:ascii="Arial" w:hAnsi="Arial" w:cs="Arial"/>
          <w:sz w:val="22"/>
          <w:szCs w:val="22"/>
        </w:rPr>
        <w:t xml:space="preserve">[PL 2019, c. 284, §17 (NEW).]</w:t>
      </w:r>
    </w:p>
    <w:p>
      <w:pPr>
        <w:jc w:val="both"/>
        <w:spacing w:before="100" w:after="0"/>
        <w:ind w:start="360"/>
        <w:ind w:firstLine="360"/>
      </w:pPr>
      <w:r>
        <w:rPr>
          <w:b/>
        </w:rPr>
        <w:t>1</w:t>
        <w:t xml:space="preserve">.  </w:t>
      </w:r>
      <w:r>
        <w:rPr>
          <w:b/>
        </w:rPr>
        <w:t xml:space="preserve">Limited interpreters.</w:t>
        <w:t xml:space="preserve"> </w:t>
      </w:r>
      <w:r>
        <w:t xml:space="preserve"> </w:t>
      </w:r>
      <w:r>
        <w:t xml:space="preserve">A holder of a limited interpreter license under former </w:t>
      </w:r>
      <w:r>
        <w:t>section 1524</w:t>
      </w:r>
      <w:r>
        <w:t xml:space="preserve"> or limited deaf interpreter license under former </w:t>
      </w:r>
      <w:r>
        <w:t>section 1524‑A</w:t>
      </w:r>
      <w:r>
        <w:t xml:space="preserve"> must complete at least 20 hours annually of continuing education in American Sign Language or the interpreting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§43 (COR).]</w:t>
      </w:r>
    </w:p>
    <w:p>
      <w:pPr>
        <w:jc w:val="both"/>
        <w:spacing w:before="100" w:after="0"/>
        <w:ind w:start="360"/>
        <w:ind w:firstLine="360"/>
      </w:pPr>
      <w:r>
        <w:rPr>
          <w:b/>
        </w:rPr>
        <w:t>2</w:t>
        <w:t xml:space="preserve">.  </w:t>
      </w:r>
      <w:r>
        <w:rPr>
          <w:b/>
        </w:rPr>
        <w:t xml:space="preserve">Certified interpreters.</w:t>
        <w:t xml:space="preserve"> </w:t>
      </w:r>
      <w:r>
        <w:t xml:space="preserve"> </w:t>
      </w:r>
      <w:r>
        <w:t xml:space="preserve">A certified interpreter or certified deaf interpreter is required to maintain continued certification with the Registry of Interpreters for the Deaf, Inc. or a comparable or successor organization recognized by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284, §17 (AMD).]</w:t>
      </w:r>
    </w:p>
    <w:p>
      <w:pPr>
        <w:jc w:val="both"/>
        <w:spacing w:before="100" w:after="0"/>
        <w:ind w:start="360"/>
        <w:ind w:firstLine="360"/>
      </w:pPr>
      <w:r>
        <w:rPr>
          <w:b/>
        </w:rPr>
        <w:t>3</w:t>
        <w:t xml:space="preserve">.  </w:t>
      </w:r>
      <w:r>
        <w:rPr>
          <w:b/>
        </w:rPr>
        <w:t xml:space="preserve">Conditional interpreters.</w:t>
        <w:t xml:space="preserve"> </w:t>
      </w:r>
      <w:r>
        <w:t xml:space="preserve"> </w:t>
      </w:r>
      <w:r>
        <w:t xml:space="preserve">A conditional interpreter or conditional deaf interpreter must complete at least 20 hours annually of continuing education in American Sign Language or the interpreting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284,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399, §15 (NEW). PL 1999, c. 399, §20 (AFF). PL 2005, c. 267, §4 (AMD). PL 2019, c. 284, §17 (AMD). RR 2019, c. 1, Pt. A, §43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§1528-A. Continuing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§1528-A. Continuing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§1528-A. CONTINUING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