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16302</w:t>
        <w:t xml:space="preserve">.  </w:t>
      </w:r>
      <w:r>
        <w:rPr>
          <w:b/>
        </w:rPr>
        <w:t xml:space="preserve">Notice filing</w:t>
      </w:r>
    </w:p>
    <w:p>
      <w:pPr>
        <w:jc w:val="both"/>
        <w:spacing w:before="100" w:after="100"/>
        <w:ind w:start="360"/>
        <w:ind w:firstLine="360"/>
      </w:pPr>
      <w:r>
        <w:rPr>
          <w:b/>
        </w:rPr>
        <w:t>1</w:t>
        <w:t xml:space="preserve">.  </w:t>
      </w:r>
      <w:r>
        <w:rPr>
          <w:b/>
        </w:rPr>
        <w:t xml:space="preserve">Notice filings for federal covered securities under Section 18(b)(2) of the federal Securities Act of 1933.</w:t>
        <w:t xml:space="preserve"> </w:t>
      </w:r>
      <w:r>
        <w:t xml:space="preserve"> </w:t>
      </w:r>
      <w:r>
        <w:t xml:space="preserve">A federal covered security, as defined in Section 18(b)(2) of the federal Securities Act of 1933, 15 United States Code, Section 77r(b)(2), that is not otherwise exempt under </w:t>
      </w:r>
      <w:r>
        <w:t>sections 16201</w:t>
      </w:r>
      <w:r>
        <w:t xml:space="preserve"> to </w:t>
      </w:r>
      <w:r>
        <w:t>16203</w:t>
      </w:r>
      <w:r>
        <w:t xml:space="preserve"> may not be offered or sold in this State unless before the initial offer in this State the following are filed with the administrator:</w:t>
      </w:r>
    </w:p>
    <w:p>
      <w:pPr>
        <w:jc w:val="both"/>
        <w:spacing w:before="100" w:after="0"/>
        <w:ind w:start="720"/>
      </w:pPr>
      <w:r>
        <w:rPr/>
        <w:t>A</w:t>
        <w:t xml:space="preserve">.  </w:t>
      </w:r>
      <w:r>
        <w:rPr/>
      </w:r>
      <w:r>
        <w:t xml:space="preserve">The uniform investment company notice filing form;</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consent to service of process complying with </w:t>
      </w:r>
      <w:r>
        <w:t>section 16611</w:t>
      </w:r>
      <w:r>
        <w:t xml:space="preserve"> signed by the issuer;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payment of a nonrefundable fee of $1,000 for each type or class of security offered.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Notice filing effectiveness and renewal.</w:t>
        <w:t xml:space="preserve"> </w:t>
      </w:r>
      <w:r>
        <w:t xml:space="preserve"> </w:t>
      </w:r>
      <w:r>
        <w:t xml:space="preserve">A notice filing under </w:t>
      </w:r>
      <w:r>
        <w:t>subsection 1</w:t>
      </w:r>
      <w:r>
        <w:t xml:space="preserve"> is effective for one year commencing on the date of the notice filing, the date of effectiveness of the offering filed with the Securities and Exchange Commission or a date selected by the filer, whichever date is latest.  On or before expiration, a notice filing may be renewed by filing the uniform investment company notice filing form and by paying a nonrefundable renewal fee of $1,000 for each type or class of security offered.  A previously filed consent to service of process complying with </w:t>
      </w:r>
      <w:r>
        <w:t>section 16611</w:t>
      </w:r>
      <w:r>
        <w:t xml:space="preserve"> may be incorporated by reference in a renewal.  A renewed notice filing becomes effective upon the expiration of the filing being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Notice filings for federal covered securities under Section 18(b)(4)(D).</w:t>
        <w:t xml:space="preserve"> </w:t>
      </w:r>
      <w:r>
        <w:t xml:space="preserve"> </w:t>
      </w:r>
      <w:r>
        <w:t xml:space="preserve">A security that is a federal covered security under Section 18(b)(4)(D) of the federal Securities Act of 1933, 15 United States Code, Section 77r(b)(4)(D) that is not otherwise exempt under </w:t>
      </w:r>
      <w:r>
        <w:t>sections 16201</w:t>
      </w:r>
      <w:r>
        <w:t xml:space="preserve"> to </w:t>
      </w:r>
      <w:r>
        <w:t>16203</w:t>
      </w:r>
      <w:r>
        <w:t xml:space="preserve"> may not be sold in this State unless the following records are filed with the administrator no later than 15 days after the first sale in this State:</w:t>
      </w:r>
    </w:p>
    <w:p>
      <w:pPr>
        <w:jc w:val="both"/>
        <w:spacing w:before="100" w:after="0"/>
        <w:ind w:start="720"/>
      </w:pPr>
      <w:r>
        <w:rPr/>
        <w:t>A</w:t>
        <w:t xml:space="preserve">.  </w:t>
      </w:r>
      <w:r>
        <w:rPr/>
      </w:r>
      <w:r>
        <w:t xml:space="preserve">A notice on "Form D," as promulgated by the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2009, c. 500, §2 (AMD).]</w:t>
      </w:r>
    </w:p>
    <w:p>
      <w:pPr>
        <w:jc w:val="both"/>
        <w:spacing w:before="100" w:after="0"/>
        <w:ind w:start="720"/>
      </w:pPr>
      <w:r>
        <w:rPr/>
        <w:t>B</w:t>
        <w:t xml:space="preserve">.  </w:t>
      </w:r>
      <w:r>
        <w:rPr/>
      </w:r>
      <w:r>
        <w:t xml:space="preserve">A consent to service of process complying with </w:t>
      </w:r>
      <w:r>
        <w:t>section 16611</w:t>
      </w:r>
      <w:r>
        <w:t xml:space="preserve">, signed by the issuer, except that if the Form D includes a consent to service of process, a separate document need not be filed for this purpose, and if the consent to service of process on the Form D is executed in a manner accepted by the Securities and Exchange Commission, it is deemed to comply with the requirement in this section and in </w:t>
      </w:r>
      <w:r>
        <w:t>section 16611, subsection 1</w:t>
      </w:r>
      <w:r>
        <w:t xml:space="preserve"> that the consent be signed; and</w:t>
      </w:r>
      <w:r>
        <w:t xml:space="preserve">  </w:t>
      </w:r>
      <w:r xmlns:wp="http://schemas.openxmlformats.org/drawingml/2010/wordprocessingDrawing" xmlns:w15="http://schemas.microsoft.com/office/word/2012/wordml">
        <w:rPr>
          <w:rFonts w:ascii="Arial" w:hAnsi="Arial" w:cs="Arial"/>
          <w:sz w:val="22"/>
          <w:szCs w:val="22"/>
        </w:rPr>
        <w:t xml:space="preserve">[PL 2009, c. 500, §3 (AMD).]</w:t>
      </w:r>
    </w:p>
    <w:p>
      <w:pPr>
        <w:jc w:val="both"/>
        <w:spacing w:before="100" w:after="0"/>
        <w:ind w:start="720"/>
      </w:pPr>
      <w:r>
        <w:rPr/>
        <w:t>C</w:t>
        <w:t xml:space="preserve">.  </w:t>
      </w:r>
      <w:r>
        <w:rPr/>
      </w:r>
      <w:r>
        <w:t xml:space="preserve">The payment of a nonrefundable fee of $300 per type or class of security sold.</w:t>
      </w:r>
    </w:p>
    <w:p>
      <w:pPr>
        <w:jc w:val="both"/>
        <w:spacing w:before="100" w:after="0"/>
        <w:ind w:start="720"/>
      </w:pPr>
      <w:r>
        <w:rPr/>
      </w:r>
      <w:r>
        <w:rPr/>
      </w:r>
      <w:r>
        <w:t xml:space="preserve">A notice filer making a filing 16 or more days after the first sale in this State shall pay an additional nonrefundable late filing fee of $500.</w:t>
      </w:r>
      <w:r>
        <w:t xml:space="preserve">  </w:t>
      </w:r>
      <w:r xmlns:wp="http://schemas.openxmlformats.org/drawingml/2010/wordprocessingDrawing" xmlns:w15="http://schemas.microsoft.com/office/word/2012/wordml">
        <w:rPr>
          <w:rFonts w:ascii="Arial" w:hAnsi="Arial" w:cs="Arial"/>
          <w:sz w:val="22"/>
          <w:szCs w:val="22"/>
        </w:rPr>
        <w:t xml:space="preserve">[PL 2019, c. 252,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252, Pt. A, §2 (AMD).]</w:t>
      </w:r>
    </w:p>
    <w:p>
      <w:pPr>
        <w:jc w:val="both"/>
        <w:spacing w:before="100" w:after="0"/>
        <w:ind w:start="360"/>
        <w:ind w:firstLine="360"/>
      </w:pPr>
      <w:r>
        <w:rPr>
          <w:b/>
        </w:rPr>
        <w:t>4</w:t>
        <w:t xml:space="preserve">.  </w:t>
      </w:r>
      <w:r>
        <w:rPr>
          <w:b/>
        </w:rPr>
        <w:t xml:space="preserve">Stop orders.</w:t>
        <w:t xml:space="preserve"> </w:t>
      </w:r>
      <w:r>
        <w:t xml:space="preserve"> </w:t>
      </w:r>
      <w:r>
        <w:t xml:space="preserve">Except with respect to a federal covered security under Section 18(b)(1) of the federal Securities Act of 1933, 15 United States Code, Section 77r(b)(1), if the administrator finds that there is a failure to comply with a notice or fee requirement of this section or any rule adopted under this section, the administrator may issue a stop order suspending the offer and sale of a federal covered security in this State. If the deficiency is corrected, the stop order is void as of the time of its issuance and no penalty may be imposed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Other federal covered securities.</w:t>
        <w:t xml:space="preserve"> </w:t>
      </w:r>
      <w:r>
        <w:t xml:space="preserve"> </w:t>
      </w:r>
      <w:r>
        <w:t xml:space="preserve">Unless the administrator provides otherwise by rule, any other federal covered security may be offered and sold in this State in reliance on its being a federal covered security without the filing of a notice or the payment of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2009, c. 500, §§2, 3 (AMD). PL 2019, c. 252,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§16302. Notice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§16302. Notice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§16302. NOTICE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