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16527</w:t>
        <w:t xml:space="preserve">.  </w:t>
      </w:r>
      <w:r>
        <w:rPr>
          <w:b/>
        </w:rPr>
        <w:t xml:space="preserve">Final order overturned; recovery of restitution assistance</w:t>
      </w:r>
    </w:p>
    <w:p>
      <w:pPr>
        <w:jc w:val="both"/>
        <w:spacing w:before="100" w:after="100"/>
        <w:ind w:start="360"/>
        <w:ind w:firstLine="360"/>
      </w:pPr>
      <w:r>
        <w:rPr/>
      </w:r>
      <w:r>
        <w:rPr/>
      </w:r>
      <w:r>
        <w:t xml:space="preserve">If an award of restitution in a final order is overturned on appeal after restitution assistance under this subchapter has been paid, the administrator in the administrator's discretion may recover the restitution assistance from the claimant by order or may request that the Attorney General bring a civil action to recover the restitution assistance.</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§16527. Final order overturned; recovery of restitution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§16527. Final order overturned; recovery of restitution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§16527. FINAL ORDER OVERTURNED; RECOVERY OF RESTITUTION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