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16613</w:t>
        <w:t xml:space="preserve">.  </w:t>
      </w:r>
      <w:r>
        <w:rPr>
          <w:b/>
        </w:rPr>
        <w:t xml:space="preserve">Administrative determination of abandonment</w:t>
      </w:r>
    </w:p>
    <w:p>
      <w:pPr>
        <w:jc w:val="both"/>
        <w:spacing w:before="100" w:after="100"/>
        <w:ind w:start="360"/>
        <w:ind w:firstLine="360"/>
      </w:pPr>
      <w:r>
        <w:rPr/>
      </w:r>
      <w:r>
        <w:rPr/>
      </w:r>
      <w:r>
        <w:t xml:space="preserve">A pending license application, registration statement, exemption filing or notice filing may be considered abandoned if the administrator has not received a response to inquiries or deficiency notices for a period of at least 120 days. The administrator shall send an abandonment notice to the last known address of the applicant or filer. The applicant or filer must respond to the abandonment notice within 30 days to avoid an abandonment determination. The abandonment of an application does not preclude the filing of a subsequent application for licensing, registration statement, exemption filing or notice filing.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§16613. Administrative determination of abandonment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§16613. Administrative determination of abandonment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§16613. ADMINISTRATIVE DETERMINATION OF ABANDONMENT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