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16807</w:t>
        <w:t xml:space="preserve">.  </w:t>
      </w:r>
      <w:r>
        <w:rPr>
          <w:b/>
        </w:rPr>
        <w:t xml:space="preserve">Immunity for delaying disbursements</w:t>
      </w:r>
    </w:p>
    <w:p>
      <w:pPr>
        <w:jc w:val="both"/>
        <w:spacing w:before="100" w:after="100"/>
        <w:ind w:start="360"/>
        <w:ind w:firstLine="360"/>
      </w:pPr>
      <w:r>
        <w:rPr/>
      </w:r>
      <w:r>
        <w:rPr/>
      </w:r>
      <w:r>
        <w:t xml:space="preserve">A broker-dealer or investment adviser that in good faith and exercising reasonable care complies with </w:t>
      </w:r>
      <w:r>
        <w:t>section 16806</w:t>
      </w:r>
      <w:r>
        <w:t xml:space="preserve"> is immune from any administrative or civil liability that might otherwise arise from a delay in a disbursement in accordance with </w:t>
      </w:r>
      <w:r>
        <w:t>section 16806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§16807. Immunity for delaying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§16807. Immunity for delaying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§16807. IMMUNITY FOR DELAYING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