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16808</w:t>
        <w:t xml:space="preserve">.  </w:t>
      </w:r>
      <w:r>
        <w:rPr>
          <w:b/>
        </w:rPr>
        <w:t xml:space="preserve">Records</w:t>
      </w:r>
    </w:p>
    <w:p>
      <w:pPr>
        <w:jc w:val="both"/>
        <w:spacing w:before="100" w:after="100"/>
        <w:ind w:start="360"/>
        <w:ind w:firstLine="360"/>
      </w:pPr>
      <w:r>
        <w:rPr/>
      </w:r>
      <w:r>
        <w:rPr/>
      </w:r>
      <w:r>
        <w:t xml:space="preserve">A broker-dealer or investment adviser shall provide access to or copies of records that are relevant to the suspected or attempted financial exploitation of an eligible adult to the Department of Health and Human Services and to a law enforcement agency as part of a referral to the department or to a law enforcement agency or upon request of the department or a law enforcement agency pursuant to an investigation.  The records may include historical records and records relating to recent transactions that may constitute financial exploitation of an eligible adult.  All records made available to agencies under this section are not public records for purposes of </w:t>
      </w:r>
      <w:r>
        <w:t>Title 1, chapter 13, subchapter 1</w:t>
      </w:r>
      <w:r>
        <w:t xml:space="preserve">.  Nothing in this section limits or otherwise impedes the authority of the administrator to access or examine the books and records of broker-dealers and investment advisers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§16808.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§16808.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§16808.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