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17106</w:t>
        <w:t xml:space="preserve">.  </w:t>
      </w:r>
      <w:r>
        <w:rPr>
          <w:b/>
        </w:rPr>
        <w:t xml:space="preserve">Unlicensed practice</w:t>
      </w:r>
    </w:p>
    <w:p>
      <w:pPr>
        <w:jc w:val="both"/>
        <w:spacing w:before="100" w:after="100"/>
        <w:ind w:start="360"/>
        <w:ind w:firstLine="360"/>
      </w:pPr>
      <w:r>
        <w:rPr/>
      </w:r>
      <w:r>
        <w:rPr/>
      </w:r>
      <w:r>
        <w:t xml:space="preserve">An individual who practices or presents that individual as licensed under this chapter, and who does not hold a valid license under this chapter,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§17106.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§17106.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§17106.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