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17202</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are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2013, c. 246, Pt. B,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§17202. Meetings;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§17202. Meetings;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§17202. MEETINGS;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