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including adopting a code of conduct and standards of practice.  Except where otherwise indicated,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