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18222</w:t>
        <w:t xml:space="preserve">.  </w:t>
      </w:r>
      <w:r>
        <w:rPr>
          <w:b/>
        </w:rPr>
        <w:t xml:space="preserve">License limited to persons</w:t>
      </w:r>
    </w:p>
    <w:p>
      <w:pPr>
        <w:jc w:val="both"/>
        <w:spacing w:before="100" w:after="100"/>
        <w:ind w:start="360"/>
        <w:ind w:firstLine="360"/>
      </w:pPr>
      <w:r>
        <w:rPr/>
      </w:r>
      <w:r>
        <w:rPr/>
      </w:r>
      <w:r>
        <w:t xml:space="preserve">Only a person may be licensed under this chapter.  A firm, company, partnership, limited liability company or corporation may practice or offer to practice land surveying as long as the practice of land surveying is performed by a professional land surveyor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§18222. License limited to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§18222. License limited to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§18222. LICENSE LIMITED TO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