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18228</w:t>
        <w:t xml:space="preserve">.  </w:t>
      </w:r>
      <w:r>
        <w:rPr>
          <w:b/>
        </w:rPr>
        <w:t xml:space="preserve">Renewal</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18229</w:t>
      </w:r>
      <w:r>
        <w:t xml:space="preserve"> and upon the applicant's presenting evidence of compliance with the requirements of </w:t>
      </w:r>
      <w:r>
        <w:t>section 18225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100"/>
        <w:ind w:start="360"/>
        <w:ind w:firstLine="360"/>
      </w:pPr>
      <w:r>
        <w:rPr/>
      </w:r>
      <w:r>
        <w:rPr/>
      </w:r>
      <w:r>
        <w:t xml:space="preserve">Licenses may be renewed up to 90 days after the date of expiration upon payment of a late fee as set under </w:t>
      </w:r>
      <w:r>
        <w:t>section 18229</w:t>
      </w:r>
      <w:r>
        <w:t xml:space="preserve"> in addition to the renewal fee as set under </w:t>
      </w:r>
      <w:r>
        <w:t>section 18229</w:t>
      </w:r>
      <w:r>
        <w:t xml:space="preserve">. A person who submits an application for renewal more than 90 days after the licensure renewal date is subject to all requirements governing new applicants under this chapter, including a late fee, renewal fee and additional late fee as set under section 18229, except that the board may waive examination, giving due consideration to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§18228.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§18228.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§18228.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