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18437</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shall have exclusive power to impose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 based on remote state findings.</w:t>
        <w:t xml:space="preserve"> </w:t>
      </w:r>
      <w:r>
        <w:t xml:space="preserve"> </w:t>
      </w:r>
      <w:r>
        <w:t xml:space="preserve">A participating state may take adverse action based on the significant investigative information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 in lieu of adverse action.</w:t>
        <w:t xml:space="preserve"> </w:t>
      </w:r>
      <w:r>
        <w:t xml:space="preserve"> </w:t>
      </w:r>
      <w:r>
        <w:t xml:space="preserve">Nothing in this compact overrides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Investigation by participating state.</w:t>
        <w:t xml:space="preserve"> </w:t>
      </w:r>
      <w:r>
        <w:t xml:space="preserve"> </w:t>
      </w:r>
      <w: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in accordance with existing state due process law, to:</w:t>
      </w:r>
    </w:p>
    <w:p>
      <w:pPr>
        <w:jc w:val="both"/>
        <w:spacing w:before="100" w:after="0"/>
        <w:ind w:start="720"/>
      </w:pPr>
      <w:r>
        <w:rPr/>
        <w:t>A</w:t>
        <w:t xml:space="preserve">.  </w:t>
      </w:r>
      <w:r>
        <w:rPr/>
      </w:r>
      <w:r>
        <w:t xml:space="preserve">Take adverse action against a licensee's compact privilege within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Recover from the licensee the costs of investigations and dispositions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Joint investigations.</w:t>
        <w:t xml:space="preserve"> </w:t>
      </w:r>
      <w:r>
        <w:t xml:space="preserve"> </w:t>
      </w:r>
      <w:r>
        <w:t xml:space="preserve">In addition to the authority granted to a participating state by its respective state dentist or dental hygienist licensure act or other applicable state law, any participating state may jointly investigate with other participating states. Participating states shall share any significant investigative information or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Continuation of investigation.</w:t>
        <w:t xml:space="preserve"> </w:t>
      </w:r>
      <w:r>
        <w:t xml:space="preserve"> </w:t>
      </w:r>
      <w:r>
        <w:t xml:space="preserve">After a licensee's compact privilege in a remote state is terminated, the remote state may continue an investigation of the licensee that began when the licensee had a compact privilege in that remote state. If the investigation yields what would be significant investigative information had the licensee continued to have a compact privilege in that remote state, the remote state shall report the presence of such information to the data system as if it was significant investigative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