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Dissolution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Surplus funds.</w:t>
        <w:t xml:space="preserve"> </w:t>
      </w:r>
      <w:r>
        <w:t xml:space="preserve"> </w:t>
      </w:r>
      <w:r>
        <w:t xml:space="preserve">Upon the dissolution of the compact, the compact becomes null and void and is of no further force or effect, and the business and affairs of the interstate commission are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§18523.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