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§18556. Obtaining a new home state license based on a privilege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§18556. OBTAINING A NEW HOME STATE LICENSE BASED ON A PRIVILEGE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