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18561</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C</w:t>
        <w:t xml:space="preserve">.  </w:t>
      </w:r>
      <w:r>
        <w:rPr/>
      </w:r>
      <w:r>
        <w:t xml:space="preserve">Adverse actions against a license or privilege to practice;</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§18561.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§18561.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§18561.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