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§18564. Date of implementation of counseling compact; commission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§18564. DATE OF IMPLEMENTATION OF COUNSELING COMPACT; COMMISSION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