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18705</w:t>
        <w:t xml:space="preserve">.  </w:t>
      </w:r>
      <w:r>
        <w:rPr>
          <w:b/>
        </w:rPr>
        <w:t xml:space="preserve">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Compact privilege.</w:t>
        <w:t xml:space="preserve"> </w:t>
      </w:r>
      <w:r>
        <w:t xml:space="preserve"> </w:t>
      </w:r>
      <w:r>
        <w:t xml:space="preserve">To exercise the compact privilege under the terms and provisions of the compact, the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Must be eligible for a compact privilege in any member state in accordance with subsections 4, 7 and 8;</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May not have an adverse action against any license or compact privilege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G</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H</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Validity.</w:t>
        <w:t xml:space="preserve"> </w:t>
      </w:r>
      <w:r>
        <w:t xml:space="preserve"> </w:t>
      </w:r>
      <w:r>
        <w:t xml:space="preserve">The compact privilege is valid until the expiration date of the home state license. The licensee must comply with the requirements of subsection 1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physical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physical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is not eligible for a compact privilege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compact privilege in any remote state is removed, the individual must lose the compact privilege in any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§18705.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§18705.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§18705.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