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18711</w:t>
        <w:t xml:space="preserve">.  </w:t>
      </w:r>
      <w:r>
        <w:rPr>
          <w:b/>
        </w:rPr>
        <w:t xml:space="preserve">Oversight; dispute resolution; enforcement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hereunder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The commission is entitled to receive service of process in any proceeding under </w:t>
      </w:r>
      <w:r>
        <w:t>paragraph B</w:t>
      </w:r>
      <w:r>
        <w:t xml:space="preserve">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2</w:t>
        <w:t xml:space="preserve">.  </w:t>
      </w:r>
      <w:r>
        <w:rPr>
          <w:b/>
        </w:rPr>
        <w:t xml:space="preserve">Default; technical assistance; termination.</w:t>
        <w:t xml:space="preserve"> </w:t>
      </w:r>
      <w:r>
        <w:t xml:space="preserve"> </w:t>
      </w:r>
      <w:r>
        <w:t xml:space="preserve">Default, technical assistance and termination are governed by this subsection.</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and each of the 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A state that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E</w:t>
        <w:t xml:space="preserve">.  </w:t>
      </w:r>
      <w:r>
        <w:rPr/>
      </w:r>
      <w:r>
        <w:t xml:space="preserve">The commission may not bear any costs related to a state that is found to be in default or that has been terminated from the compact, unless agreed upon in writing between the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F</w:t>
        <w:t xml:space="preserve">.  </w:t>
      </w:r>
      <w:r>
        <w:rPr/>
      </w:r>
      <w:r>
        <w:t xml:space="preserve">The defaulting state may appeal the action of the commission by petitioning the United States District Court for the District of Columbia or the federal district where the commission has its principal offices.  The prevailing member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4</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The remedies under this subsection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§18711. Oversight; dispute resolution;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§18711. Oversight; dispute resolution;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§18711. OVERSIGHT; DISPUTE RESOLUTION;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