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19702</w:t>
        <w:t xml:space="preserve">.  </w:t>
      </w:r>
      <w:r>
        <w:rPr>
          <w:b/>
        </w:rPr>
        <w:t xml:space="preserve">Closing practice</w:t>
      </w:r>
    </w:p>
    <w:p>
      <w:pPr>
        <w:jc w:val="both"/>
        <w:spacing w:before="100" w:after="100"/>
        <w:ind w:start="360"/>
        <w:ind w:firstLine="360"/>
      </w:pPr>
      <w:r>
        <w:rPr/>
      </w:r>
      <w:r>
        <w:rPr/>
      </w:r>
      <w:r>
        <w:t xml:space="preserve">A licensee who is unwilling or unable to operate a practice pursuant to this chapter shall notify the board as soon as practicable and in no event later than 30 days before closure of the practice if there is no successor licensee.</w:t>
      </w:r>
      <w:r>
        <w:t xml:space="preserve">  </w:t>
      </w:r>
      <w:r xmlns:wp="http://schemas.openxmlformats.org/drawingml/2010/wordprocessingDrawing" xmlns:w15="http://schemas.microsoft.com/office/word/2012/wordml">
        <w:rPr>
          <w:rFonts w:ascii="Arial" w:hAnsi="Arial" w:cs="Arial"/>
          <w:sz w:val="22"/>
          <w:szCs w:val="22"/>
        </w:rPr>
        <w:t xml:space="preserve">[PL 2023,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§19702. Closing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§19702. Closing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§19702. CLOSING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