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Qualifications for members</w:t>
      </w:r>
    </w:p>
    <w:p>
      <w:pPr>
        <w:jc w:val="both"/>
        <w:spacing w:before="100" w:after="100"/>
        <w:ind w:start="360"/>
        <w:ind w:firstLine="360"/>
      </w:pPr>
      <w:r>
        <w:rPr/>
      </w:r>
      <w:r>
        <w:rPr/>
      </w:r>
      <w:r>
        <w:t xml:space="preserve">Each member of the board must be a resident of this State and in the case of architect, landscape architect or interior designer members must be currently licensed or certified by the State and have engaged in the independent practice of architecture, landscape architecture or interior design in the State for at least 5 years immediately prior to appointment.  The member who may be a professor of architecture in a college or university of this State must have combined experience in practice and teaching of not less than 5 years, at least 2 of which must have been in the active practice of architecture as a profession.</w:t>
      </w:r>
      <w:r>
        <w:t xml:space="preserve">  </w:t>
      </w:r>
      <w:r xmlns:wp="http://schemas.openxmlformats.org/drawingml/2010/wordprocessingDrawing" xmlns:w15="http://schemas.microsoft.com/office/word/2012/wordml">
        <w:rPr>
          <w:rFonts w:ascii="Arial" w:hAnsi="Arial" w:cs="Arial"/>
          <w:sz w:val="22"/>
          <w:szCs w:val="22"/>
        </w:rPr>
        <w:t xml:space="preserve">[PL 2007, c. 402, Pt. F,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§3 (NEW). PL 1991, c. 396, §5 (AMD). PL 1993, c. 389, §6 (AMD). PL 2007, c. 402, Pt. F,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§212. Qualifications for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Qualifications for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§212. QUALIFICATIONS FOR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