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Powers and duties</w:t>
      </w:r>
    </w:p>
    <w:p>
      <w:pPr>
        <w:jc w:val="both"/>
        <w:spacing w:before="100" w:after="100"/>
        <w:ind w:start="360"/>
        <w:ind w:firstLine="360"/>
      </w:pPr>
      <w:r>
        <w:rPr/>
      </w:r>
      <w:r>
        <w:rPr/>
      </w:r>
      <w:r>
        <w:t xml:space="preserve">The board shall administer, coordinate and enforce this chapter and have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214, §6 (RPR).]</w:t>
      </w:r>
    </w:p>
    <w:p>
      <w:pPr>
        <w:jc w:val="both"/>
        <w:spacing w:before="100" w:after="0"/>
        <w:ind w:start="360"/>
        <w:ind w:firstLine="360"/>
      </w:pPr>
      <w:r>
        <w:rPr>
          <w:b/>
        </w:rPr>
        <w:t>1</w:t>
        <w:t xml:space="preserve">.  </w:t>
      </w:r>
      <w:r>
        <w:rPr>
          <w:b/>
        </w:rPr>
        <w:t xml:space="preserve">Rules.</w:t>
        <w:t xml:space="preserve"> </w:t>
      </w:r>
      <w:r>
        <w:t xml:space="preserve"> </w:t>
      </w:r>
      <w:r>
        <w:t xml:space="preserve">The board may, in accordance with the Maine Administrative Procedure Act, </w:t>
      </w:r>
      <w:r>
        <w:t>Title 5, chapter 375, subchapter II</w:t>
      </w:r>
      <w:r>
        <w:t xml:space="preserve">, adopt rules commensurate with the authority vested in it by this chapter.  The rules may include rules necessary for the performance of the duties of the board in carrying out the purposes of this chapter, as well as such rules as are appropriate to establish and maintain high standards of ethical conduct.  These rules shall include, but not be limited to, rules concerning misconduct, compensation, fee splitting, advertising and standards of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§6 (NEW).]</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§5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§22 (RP).]</w:t>
      </w:r>
    </w:p>
    <w:p>
      <w:pPr>
        <w:jc w:val="both"/>
        <w:spacing w:before="100" w:after="0"/>
        <w:ind w:start="360"/>
        <w:ind w:firstLine="360"/>
      </w:pPr>
      <w:r>
        <w:rPr>
          <w:b/>
        </w:rPr>
        <w:t>4</w:t>
        <w:t xml:space="preserve">.  </w:t>
      </w:r>
      <w:r>
        <w:rPr>
          <w:b/>
        </w:rPr>
        <w:t xml:space="preserve">Legal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§§542,543 (AMD). PL 1983, c. 413, §6 (RPR). PL 1987, c. 395, §A110 (AMD). PL 1993, c. 389, §8 (AMD). PL 1995, c. 397, §22 (AMD). PL 2007, c. 402, Pt. F,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