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2153-B</w:t>
        <w:t xml:space="preserve">.  </w:t>
      </w:r>
      <w:r>
        <w:rPr>
          <w:b/>
        </w:rPr>
        <w:t xml:space="preserve">Liaison; limitations</w:t>
      </w:r>
    </w:p>
    <w:p>
      <w:pPr>
        <w:jc w:val="both"/>
        <w:spacing w:before="100" w:after="100"/>
        <w:ind w:start="360"/>
        <w:ind w:firstLine="360"/>
      </w:pPr>
      <w:r>
        <w:rPr/>
      </w:r>
      <w:r>
        <w:rPr/>
      </w:r>
      <w:r>
        <w:t xml:space="preserve">The Commissioner of Professional and Financial Regulation shall act as a liaison between the board and the Governor.  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§2153-B.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§2153-B.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§2153-B.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