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223-A</w:t>
        <w:t xml:space="preserve">.  </w:t>
      </w:r>
      <w:r>
        <w:rPr>
          <w:b/>
        </w:rPr>
        <w:t xml:space="preserve">Licensure without examination</w:t>
      </w:r>
    </w:p>
    <w:p>
      <w:pPr>
        <w:jc w:val="both"/>
        <w:spacing w:before="100" w:after="100"/>
        <w:ind w:start="360"/>
        <w:ind w:firstLine="360"/>
      </w:pPr>
      <w:r>
        <w:rPr/>
      </w:r>
      <w:r>
        <w:rPr/>
      </w:r>
      <w:r>
        <w:t xml:space="preserve">A license may be issued without an examination under any one of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1991, c. 396, §18 (NEW).]</w:t>
      </w:r>
    </w:p>
    <w:p>
      <w:pPr>
        <w:jc w:val="both"/>
        <w:spacing w:before="100" w:after="0"/>
        <w:ind w:start="360"/>
        <w:ind w:firstLine="360"/>
      </w:pPr>
      <w:r>
        <w:rPr>
          <w:b/>
        </w:rPr>
        <w:t>1</w:t>
        <w:t xml:space="preserve">.  </w:t>
      </w:r>
      <w:r>
        <w:rPr>
          <w:b/>
        </w:rPr>
        <w:t xml:space="preserve">Certification by National Council of Architectural Registration Boards.</w:t>
        <w:t xml:space="preserve"> </w:t>
      </w:r>
      <w:r>
        <w:t xml:space="preserve"> </w:t>
      </w:r>
      <w:r>
        <w:t xml:space="preserve">An architect license may be issued without examination to an applicant who has a current and valid certificate of licensure from another state and a current and valid certificate from the National Council of Architectural Registration Boards or its successor or other organization approved by the board.  The applicant must file an application for licensure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§17 (AMD).]</w:t>
      </w:r>
    </w:p>
    <w:p>
      <w:pPr>
        <w:jc w:val="both"/>
        <w:spacing w:before="100" w:after="0"/>
        <w:ind w:start="360"/>
        <w:ind w:firstLine="360"/>
      </w:pPr>
      <w:r>
        <w:rPr>
          <w:b/>
        </w:rPr>
        <w:t>2</w:t>
        <w:t xml:space="preserve">.  </w:t>
      </w:r>
      <w:r>
        <w:rPr>
          <w:b/>
        </w:rPr>
        <w:t xml:space="preserve">Architect licensure from other jurisdictions.</w:t>
        <w:t xml:space="preserve"> </w:t>
      </w:r>
      <w:r>
        <w:t xml:space="preserve"> </w:t>
      </w:r>
      <w:r>
        <w:t xml:space="preserve">An architect license may be issued without examination to an applicant who holds a current and valid license from another jurisdiction provided the requirements for the license are determined equivalent to requirements for licensure by examination in this State and the applicant submits other evidence of ability as may be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w:t>
      </w:r>
    </w:p>
    <w:p>
      <w:pPr>
        <w:jc w:val="both"/>
        <w:spacing w:before="100" w:after="0"/>
        <w:ind w:start="360"/>
        <w:ind w:firstLine="360"/>
      </w:pPr>
      <w:r>
        <w:rPr>
          <w:b/>
        </w:rPr>
        <w:t>3</w:t>
        <w:t xml:space="preserve">.  </w:t>
      </w:r>
      <w:r>
        <w:rPr>
          <w:b/>
        </w:rPr>
        <w:t xml:space="preserve">Certification by Council of Landscape Architectural Registration Boards.</w:t>
        <w:t xml:space="preserve"> </w:t>
      </w:r>
      <w:r>
        <w:t xml:space="preserve"> </w:t>
      </w:r>
      <w:r>
        <w:t xml:space="preserve">A landscape architect license may be issued without examination to an applicant who has passed a standard examination and received certification by the Council of Landscape Architectural Registration Boards and provides the board further evidence of continued honorable professional conduct after passing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w:t>
      </w:r>
    </w:p>
    <w:p>
      <w:pPr>
        <w:jc w:val="both"/>
        <w:spacing w:before="100" w:after="0"/>
        <w:ind w:start="360"/>
        <w:ind w:firstLine="360"/>
      </w:pPr>
      <w:r>
        <w:rPr>
          <w:b/>
        </w:rPr>
        <w:t>4</w:t>
        <w:t xml:space="preserve">.  </w:t>
      </w:r>
      <w:r>
        <w:rPr>
          <w:b/>
        </w:rPr>
        <w:t xml:space="preserve">Landscape architect licensure from other jurisdictions.</w:t>
        <w:t xml:space="preserve"> </w:t>
      </w:r>
      <w:r>
        <w:t xml:space="preserve"> </w:t>
      </w:r>
      <w:r>
        <w:t xml:space="preserve">A landscape architect license may be issued without examination to an applicant who holds a current and valid license from another jurisdiction provided the requirements for the license are determined equivalent to the requirements for licensure by examination in this State and the applicant submits other evidence of ability as may be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 PL 2007, c. 402, Pt. F,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§223-A. Licensure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§223-A. Licensure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§223-A. LICENSURE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